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1404"/>
        <w:tblW w:w="90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6335"/>
      </w:tblGrid>
      <w:tr w:rsidR="00EC2127" w:rsidRPr="00EC2127" w14:paraId="4797A678" w14:textId="77777777" w:rsidTr="00FE0BAD">
        <w:trPr>
          <w:trHeight w:val="163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E12B4" w14:textId="2B5B4009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</w:pPr>
            <w:r w:rsidRPr="003C7EF3">
              <w:rPr>
                <w:rFonts w:ascii="Calibri" w:eastAsia="Times New Roman" w:hAnsi="Calibri" w:cs="Calibri"/>
                <w:b/>
                <w:color w:val="FFFFFF"/>
                <w:kern w:val="0"/>
                <w:sz w:val="36"/>
                <w:szCs w:val="36"/>
                <w14:ligatures w14:val="none"/>
              </w:rPr>
              <w:t>Cadre de réponse technique (CRT)</w:t>
            </w:r>
          </w:p>
          <w:p w14:paraId="04803FF0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6335" w:type="dxa"/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93F2" w14:textId="750EC542" w:rsidR="00EC2127" w:rsidRPr="00EC2127" w:rsidRDefault="004C442C" w:rsidP="00BD4D5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</w:pPr>
            <w:r w:rsidRPr="004C442C">
              <w:rPr>
                <w:rFonts w:ascii="Calibri" w:eastAsia="Times New Roman" w:hAnsi="Calibri" w:cs="Calibri"/>
                <w:b/>
                <w:color w:val="FFFFFF"/>
                <w:kern w:val="0"/>
                <w:sz w:val="44"/>
                <w:szCs w:val="44"/>
                <w14:ligatures w14:val="none"/>
              </w:rPr>
              <w:t>Prestation de services d’intérim médical et paramédical, de vacation médicale et de chasseur de tête</w:t>
            </w:r>
          </w:p>
        </w:tc>
      </w:tr>
      <w:tr w:rsidR="00EC2127" w:rsidRPr="00EC2127" w14:paraId="78B212A5" w14:textId="77777777" w:rsidTr="00FE0BAD">
        <w:trPr>
          <w:trHeight w:val="29"/>
        </w:trPr>
        <w:tc>
          <w:tcPr>
            <w:tcW w:w="2695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A37AA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Cs w:val="24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63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4815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 </w:t>
            </w:r>
          </w:p>
          <w:p w14:paraId="4D580081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14:ligatures w14:val="none"/>
              </w:rPr>
              <w:t>GHT Somme Littoral Sud</w:t>
            </w:r>
          </w:p>
          <w:p w14:paraId="44183B84" w14:textId="77777777" w:rsidR="00EC2127" w:rsidRPr="00EC2127" w:rsidRDefault="00EC2127" w:rsidP="00EC212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4"/>
                <w:szCs w:val="44"/>
                <w:lang w:eastAsia="fr-FR"/>
                <w14:ligatures w14:val="none"/>
              </w:rPr>
            </w:pPr>
          </w:p>
          <w:p w14:paraId="70CCB7BF" w14:textId="2A36B272" w:rsidR="00EC2127" w:rsidRPr="00DB15B6" w:rsidRDefault="00EC2127" w:rsidP="004C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</w:pPr>
            <w:r w:rsidRPr="00EC2127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 xml:space="preserve">Procédure : </w:t>
            </w:r>
            <w:r w:rsidR="00DB15B6">
              <w:t xml:space="preserve"> </w:t>
            </w:r>
            <w:r w:rsidR="004C442C">
              <w:rPr>
                <w:rFonts w:ascii="Calibri" w:eastAsia="Times New Roman" w:hAnsi="Calibri" w:cs="Calibri"/>
                <w:b/>
                <w:color w:val="0892AF"/>
                <w:kern w:val="0"/>
                <w:sz w:val="40"/>
                <w:szCs w:val="40"/>
                <w:lang w:eastAsia="fr-FR"/>
                <w14:ligatures w14:val="none"/>
              </w:rPr>
              <w:t>AO</w:t>
            </w:r>
          </w:p>
        </w:tc>
      </w:tr>
    </w:tbl>
    <w:p w14:paraId="6282324F" w14:textId="04BDB84B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37D0EFF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eastAsia="Times New Roman" w:hAnsi="Calibri" w:cs="Calibri"/>
          <w:kern w:val="0"/>
          <w:sz w:val="20"/>
          <w:szCs w:val="20"/>
          <w:lang w:eastAsia="fr-FR"/>
          <w14:ligatures w14:val="none"/>
        </w:rPr>
      </w:pPr>
    </w:p>
    <w:p w14:paraId="6592CCD1" w14:textId="7B2FB5E0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BC851F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EFCEA49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7B4DAE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03E5E01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3A92BE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C05E0BC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88B5F65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5D76A0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40B5B3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20" w:line="240" w:lineRule="exact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2B66009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98F0F11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2041B1D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34FE3C4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7AE1903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A65BEA2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6C4F190D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180FD83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3C8A52BF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21954028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75CAFF0B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07A731E6" w14:textId="77777777" w:rsidR="00EC2127" w:rsidRPr="00EC2127" w:rsidRDefault="00EC2127" w:rsidP="00EC2127">
      <w:pPr>
        <w:widowControl w:val="0"/>
        <w:autoSpaceDE w:val="0"/>
        <w:autoSpaceDN w:val="0"/>
        <w:adjustRightInd w:val="0"/>
        <w:spacing w:after="0" w:line="279" w:lineRule="exact"/>
        <w:jc w:val="center"/>
        <w:rPr>
          <w:rFonts w:ascii="Trebuchet MS" w:eastAsia="Trebuchet MS" w:hAnsi="Trebuchet MS" w:cs="Trebuchet MS"/>
          <w:color w:val="000000"/>
          <w:kern w:val="0"/>
          <w:sz w:val="20"/>
          <w:szCs w:val="20"/>
          <w:lang w:eastAsia="fr-FR"/>
          <w14:ligatures w14:val="none"/>
        </w:rPr>
      </w:pPr>
    </w:p>
    <w:p w14:paraId="1EFBDCE5" w14:textId="77777777" w:rsidR="005934E1" w:rsidRDefault="005934E1"/>
    <w:p w14:paraId="7D9046FC" w14:textId="77777777" w:rsidR="00404C4F" w:rsidRDefault="00404C4F"/>
    <w:p w14:paraId="5A4A9B71" w14:textId="77777777" w:rsidR="00404C4F" w:rsidRDefault="00404C4F"/>
    <w:p w14:paraId="02708C70" w14:textId="25BADA53" w:rsidR="00404C4F" w:rsidRP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Dénomination</w:t>
      </w:r>
      <w:r w:rsidRPr="00404C4F">
        <w:rPr>
          <w:rFonts w:ascii="Trebuchet MS" w:hAnsi="Trebuchet MS"/>
          <w:b/>
          <w:bCs/>
        </w:rPr>
        <w:t xml:space="preserve"> du candidat : </w:t>
      </w:r>
    </w:p>
    <w:p w14:paraId="44A5CCBC" w14:textId="77777777" w:rsidR="00404C4F" w:rsidRDefault="00404C4F" w:rsidP="00404C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14:paraId="0FB60977" w14:textId="77777777" w:rsidR="00404C4F" w:rsidRPr="00404C4F" w:rsidRDefault="00404C4F" w:rsidP="00404C4F"/>
    <w:p w14:paraId="6ED36C7E" w14:textId="1D962741" w:rsidR="00404C4F" w:rsidRDefault="00C95796" w:rsidP="00404C4F">
      <w:r>
        <w:lastRenderedPageBreak/>
        <w:t>Critère 2 : Valeur t</w:t>
      </w:r>
      <w:r w:rsidR="004C442C">
        <w:t>echnique (4</w:t>
      </w:r>
      <w:r w:rsidR="00385CBC">
        <w:t>0</w:t>
      </w:r>
      <w:r>
        <w:t>0 points)</w:t>
      </w:r>
    </w:p>
    <w:p w14:paraId="68FA7BB6" w14:textId="2028AE56" w:rsidR="00404C4F" w:rsidRDefault="00C95796" w:rsidP="009B7457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>Sous - critère 1</w:t>
      </w:r>
      <w:r w:rsidR="00404C4F"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 xml:space="preserve"> :</w:t>
      </w:r>
      <w:r w:rsidR="00404C4F"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</w:t>
      </w:r>
      <w:r w:rsidR="002110E9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Organisation</w:t>
      </w:r>
      <w:r w:rsidR="009B7457" w:rsidRPr="009B7457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, exécution et suivi de la prestation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(</w:t>
      </w:r>
      <w:r w:rsidR="009B7457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25</w:t>
      </w:r>
      <w:r w:rsidR="00385CBC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0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points).</w:t>
      </w:r>
    </w:p>
    <w:p w14:paraId="04075E1E" w14:textId="70081CFA" w:rsidR="009B7457" w:rsidRDefault="009B7457" w:rsidP="004A5978">
      <w:pPr>
        <w:jc w:val="both"/>
        <w:rPr>
          <w:i/>
          <w:sz w:val="20"/>
        </w:rPr>
      </w:pPr>
      <w:r w:rsidRPr="009B7457">
        <w:rPr>
          <w:i/>
          <w:sz w:val="20"/>
        </w:rPr>
        <w:t>Ce sous-critère évalue les délais de traitement des demandes</w:t>
      </w:r>
      <w:r w:rsidR="002110E9">
        <w:rPr>
          <w:i/>
          <w:sz w:val="20"/>
        </w:rPr>
        <w:t xml:space="preserve"> du GHT SLS</w:t>
      </w:r>
      <w:r w:rsidRPr="009B7457">
        <w:rPr>
          <w:i/>
          <w:sz w:val="20"/>
        </w:rPr>
        <w:t>, la qualité de l’organisation interne</w:t>
      </w:r>
      <w:r w:rsidR="002110E9">
        <w:rPr>
          <w:i/>
          <w:sz w:val="20"/>
        </w:rPr>
        <w:t xml:space="preserve"> dans le cadre de l’exécution de la prestation,</w:t>
      </w:r>
      <w:r w:rsidRPr="009B7457">
        <w:rPr>
          <w:i/>
          <w:sz w:val="20"/>
        </w:rPr>
        <w:t xml:space="preserve"> la présence d’interlocuteurs dédiés, les moyens humains alloués à la prestation, ainsi que la tenue de réunions, la réalisation de bilans et la continuité du service</w:t>
      </w:r>
    </w:p>
    <w:p w14:paraId="0CC52949" w14:textId="08DD248F" w:rsidR="004A5978" w:rsidRDefault="004A5978" w:rsidP="004A5978">
      <w:pPr>
        <w:jc w:val="both"/>
        <w:rPr>
          <w:i/>
          <w:sz w:val="20"/>
        </w:rPr>
      </w:pPr>
      <w:bookmarkStart w:id="0" w:name="_GoBack"/>
      <w:bookmarkEnd w:id="0"/>
    </w:p>
    <w:p w14:paraId="26D038E0" w14:textId="4AE1AFDA" w:rsidR="004A5978" w:rsidRDefault="004A5978" w:rsidP="004A5978">
      <w:pPr>
        <w:jc w:val="both"/>
        <w:rPr>
          <w:i/>
          <w:sz w:val="20"/>
        </w:rPr>
      </w:pPr>
    </w:p>
    <w:p w14:paraId="4F2429F1" w14:textId="5B17127A" w:rsidR="004A5978" w:rsidRDefault="004A5978" w:rsidP="004A5978">
      <w:pPr>
        <w:jc w:val="both"/>
        <w:rPr>
          <w:i/>
          <w:sz w:val="20"/>
        </w:rPr>
      </w:pPr>
    </w:p>
    <w:p w14:paraId="1F2CC02B" w14:textId="6FDED001" w:rsidR="004A5978" w:rsidRDefault="004A5978" w:rsidP="004A5978">
      <w:pPr>
        <w:jc w:val="both"/>
        <w:rPr>
          <w:i/>
          <w:sz w:val="20"/>
        </w:rPr>
      </w:pPr>
    </w:p>
    <w:p w14:paraId="51DEA64E" w14:textId="3E376D79" w:rsidR="004A5978" w:rsidRDefault="004A5978" w:rsidP="004A5978">
      <w:pPr>
        <w:jc w:val="both"/>
        <w:rPr>
          <w:i/>
          <w:sz w:val="20"/>
        </w:rPr>
      </w:pPr>
    </w:p>
    <w:p w14:paraId="6F6F95D8" w14:textId="3B4FAB47" w:rsidR="004A5978" w:rsidRDefault="004A5978" w:rsidP="004A5978">
      <w:pPr>
        <w:jc w:val="both"/>
        <w:rPr>
          <w:i/>
          <w:sz w:val="20"/>
        </w:rPr>
      </w:pPr>
    </w:p>
    <w:p w14:paraId="7A6A9762" w14:textId="00C7A08F" w:rsidR="004A5978" w:rsidRDefault="004A5978" w:rsidP="004A5978">
      <w:pPr>
        <w:jc w:val="both"/>
        <w:rPr>
          <w:i/>
          <w:sz w:val="20"/>
        </w:rPr>
      </w:pPr>
    </w:p>
    <w:p w14:paraId="05674DDE" w14:textId="7E51EF84" w:rsidR="004A5978" w:rsidRDefault="004A5978" w:rsidP="004A5978">
      <w:pPr>
        <w:jc w:val="both"/>
        <w:rPr>
          <w:i/>
          <w:sz w:val="20"/>
        </w:rPr>
      </w:pPr>
    </w:p>
    <w:p w14:paraId="285EA0B4" w14:textId="4208129E" w:rsidR="004A5978" w:rsidRDefault="004A5978" w:rsidP="004A5978">
      <w:pPr>
        <w:jc w:val="both"/>
        <w:rPr>
          <w:i/>
          <w:sz w:val="20"/>
        </w:rPr>
      </w:pPr>
    </w:p>
    <w:p w14:paraId="4ABF04E0" w14:textId="44BD2C8F" w:rsidR="004A5978" w:rsidRDefault="004A5978" w:rsidP="004A5978">
      <w:pPr>
        <w:jc w:val="both"/>
        <w:rPr>
          <w:i/>
          <w:sz w:val="20"/>
        </w:rPr>
      </w:pPr>
    </w:p>
    <w:p w14:paraId="28633960" w14:textId="2442C99B" w:rsidR="004A5978" w:rsidRDefault="004A5978" w:rsidP="004A5978">
      <w:pPr>
        <w:jc w:val="both"/>
        <w:rPr>
          <w:i/>
          <w:sz w:val="20"/>
        </w:rPr>
      </w:pPr>
    </w:p>
    <w:p w14:paraId="313CF376" w14:textId="370757F1" w:rsidR="004A5978" w:rsidRDefault="004A5978" w:rsidP="004A5978">
      <w:pPr>
        <w:jc w:val="both"/>
        <w:rPr>
          <w:i/>
          <w:sz w:val="20"/>
        </w:rPr>
      </w:pPr>
    </w:p>
    <w:p w14:paraId="2FC5917E" w14:textId="6D2BC209" w:rsidR="004A5978" w:rsidRDefault="004A5978" w:rsidP="004A5978">
      <w:pPr>
        <w:jc w:val="both"/>
        <w:rPr>
          <w:i/>
          <w:sz w:val="20"/>
        </w:rPr>
      </w:pPr>
    </w:p>
    <w:p w14:paraId="42BFC037" w14:textId="38C89E77" w:rsidR="004A5978" w:rsidRDefault="004A5978" w:rsidP="004A5978">
      <w:pPr>
        <w:jc w:val="both"/>
        <w:rPr>
          <w:i/>
          <w:sz w:val="20"/>
        </w:rPr>
      </w:pPr>
    </w:p>
    <w:p w14:paraId="03740437" w14:textId="260E3E4E" w:rsidR="004A5978" w:rsidRDefault="004A5978" w:rsidP="004A5978">
      <w:pPr>
        <w:jc w:val="both"/>
        <w:rPr>
          <w:i/>
          <w:sz w:val="20"/>
        </w:rPr>
      </w:pPr>
    </w:p>
    <w:p w14:paraId="0B790BD5" w14:textId="24882E58" w:rsidR="004A5978" w:rsidRDefault="004A5978" w:rsidP="004A5978">
      <w:pPr>
        <w:jc w:val="both"/>
        <w:rPr>
          <w:i/>
          <w:sz w:val="20"/>
        </w:rPr>
      </w:pPr>
    </w:p>
    <w:p w14:paraId="1766BF23" w14:textId="7F120870" w:rsidR="004A5978" w:rsidRDefault="004A5978" w:rsidP="004A5978">
      <w:pPr>
        <w:jc w:val="both"/>
        <w:rPr>
          <w:i/>
          <w:sz w:val="20"/>
        </w:rPr>
      </w:pPr>
    </w:p>
    <w:p w14:paraId="71DA9F81" w14:textId="5DB7ACE2" w:rsidR="004A5978" w:rsidRDefault="004A5978" w:rsidP="004A5978">
      <w:pPr>
        <w:jc w:val="both"/>
        <w:rPr>
          <w:i/>
          <w:sz w:val="20"/>
        </w:rPr>
      </w:pPr>
    </w:p>
    <w:p w14:paraId="6A703955" w14:textId="162348BD" w:rsidR="004A5978" w:rsidRDefault="004A5978" w:rsidP="004A5978">
      <w:pPr>
        <w:jc w:val="both"/>
        <w:rPr>
          <w:i/>
          <w:sz w:val="20"/>
        </w:rPr>
      </w:pPr>
    </w:p>
    <w:p w14:paraId="62AA2897" w14:textId="4C229BAC" w:rsidR="004A5978" w:rsidRDefault="004A5978" w:rsidP="004A5978">
      <w:pPr>
        <w:jc w:val="both"/>
        <w:rPr>
          <w:i/>
          <w:sz w:val="20"/>
        </w:rPr>
      </w:pPr>
    </w:p>
    <w:p w14:paraId="66BAF65D" w14:textId="712AF805" w:rsidR="004A5978" w:rsidRDefault="004A5978" w:rsidP="004A5978">
      <w:pPr>
        <w:jc w:val="both"/>
        <w:rPr>
          <w:i/>
          <w:sz w:val="20"/>
        </w:rPr>
      </w:pPr>
    </w:p>
    <w:p w14:paraId="1879BACD" w14:textId="55C12959" w:rsidR="004A5978" w:rsidRDefault="004A5978" w:rsidP="004A5978">
      <w:pPr>
        <w:jc w:val="both"/>
        <w:rPr>
          <w:i/>
          <w:sz w:val="20"/>
        </w:rPr>
      </w:pPr>
    </w:p>
    <w:p w14:paraId="6E5C1684" w14:textId="63016445" w:rsidR="004A5978" w:rsidRDefault="004A5978" w:rsidP="004A5978">
      <w:pPr>
        <w:jc w:val="both"/>
        <w:rPr>
          <w:i/>
          <w:sz w:val="20"/>
        </w:rPr>
      </w:pPr>
    </w:p>
    <w:p w14:paraId="4770A726" w14:textId="45252B06" w:rsidR="004A5978" w:rsidRDefault="004A5978" w:rsidP="004A5978">
      <w:pPr>
        <w:jc w:val="both"/>
        <w:rPr>
          <w:i/>
          <w:sz w:val="20"/>
        </w:rPr>
      </w:pPr>
    </w:p>
    <w:p w14:paraId="3DF05EF2" w14:textId="4201B9AE" w:rsidR="004A5978" w:rsidRDefault="004A5978" w:rsidP="004A5978">
      <w:pPr>
        <w:jc w:val="both"/>
        <w:rPr>
          <w:i/>
          <w:sz w:val="20"/>
        </w:rPr>
      </w:pPr>
    </w:p>
    <w:p w14:paraId="573D1CF4" w14:textId="33A5EB5B" w:rsidR="004A5978" w:rsidRDefault="004A5978" w:rsidP="004A5978">
      <w:pPr>
        <w:jc w:val="both"/>
        <w:rPr>
          <w:i/>
          <w:sz w:val="20"/>
        </w:rPr>
      </w:pPr>
    </w:p>
    <w:p w14:paraId="7F42C005" w14:textId="67B66E28" w:rsidR="004A5978" w:rsidRDefault="004A5978" w:rsidP="004A5978">
      <w:pPr>
        <w:jc w:val="both"/>
        <w:rPr>
          <w:i/>
          <w:sz w:val="20"/>
        </w:rPr>
      </w:pPr>
    </w:p>
    <w:p w14:paraId="5CACE30D" w14:textId="248991F4" w:rsidR="004A5978" w:rsidRDefault="004A5978" w:rsidP="004A5978">
      <w:pPr>
        <w:jc w:val="both"/>
        <w:rPr>
          <w:i/>
          <w:sz w:val="20"/>
        </w:rPr>
      </w:pPr>
    </w:p>
    <w:p w14:paraId="11218BAE" w14:textId="77777777" w:rsidR="004A5978" w:rsidRPr="009B7457" w:rsidRDefault="004A5978" w:rsidP="004A5978">
      <w:pPr>
        <w:jc w:val="both"/>
        <w:rPr>
          <w:i/>
          <w:sz w:val="20"/>
        </w:rPr>
      </w:pPr>
    </w:p>
    <w:p w14:paraId="01F8136F" w14:textId="603AD0CA" w:rsidR="00404C4F" w:rsidRDefault="00C95796" w:rsidP="00B77A29">
      <w:pPr>
        <w:pStyle w:val="ParagrapheIndent2"/>
        <w:spacing w:after="240" w:line="232" w:lineRule="exact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</w:pPr>
      <w:bookmarkStart w:id="1" w:name="_Hlk114590168"/>
      <w:r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>Sous - c</w:t>
      </w:r>
      <w:r w:rsidR="00404C4F"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 xml:space="preserve">ritère </w:t>
      </w:r>
      <w:r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>2</w:t>
      </w:r>
      <w:r w:rsidR="00404C4F" w:rsidRPr="004261D8">
        <w:rPr>
          <w:rFonts w:asciiTheme="minorHAnsi" w:eastAsiaTheme="minorHAnsi" w:hAnsiTheme="minorHAnsi" w:cstheme="minorBidi"/>
          <w:kern w:val="2"/>
          <w:sz w:val="22"/>
          <w:szCs w:val="22"/>
          <w:u w:val="single"/>
          <w:lang w:val="fr-FR"/>
          <w14:ligatures w14:val="standardContextual"/>
        </w:rPr>
        <w:t xml:space="preserve"> :</w:t>
      </w:r>
      <w:r w:rsidR="00404C4F"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 </w:t>
      </w:r>
      <w:bookmarkEnd w:id="1"/>
      <w:r w:rsidR="009B7457" w:rsidRPr="009B7457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 xml:space="preserve">Processus de recrutement et vivier </w:t>
      </w:r>
      <w:r w:rsidR="00DB15B6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(15</w:t>
      </w:r>
      <w:r w:rsidR="00B77A29" w:rsidRPr="004261D8">
        <w:rPr>
          <w:rFonts w:asciiTheme="minorHAnsi" w:eastAsiaTheme="minorHAnsi" w:hAnsiTheme="minorHAnsi" w:cstheme="minorBidi"/>
          <w:kern w:val="2"/>
          <w:sz w:val="22"/>
          <w:szCs w:val="22"/>
          <w:lang w:val="fr-FR"/>
          <w14:ligatures w14:val="standardContextual"/>
        </w:rPr>
        <w:t>0 points).</w:t>
      </w:r>
    </w:p>
    <w:p w14:paraId="4B1C2B9F" w14:textId="75BF6186" w:rsidR="00C95796" w:rsidRPr="009B7457" w:rsidRDefault="009B7457" w:rsidP="000F6855">
      <w:pPr>
        <w:jc w:val="both"/>
        <w:rPr>
          <w:sz w:val="20"/>
        </w:rPr>
      </w:pPr>
      <w:r w:rsidRPr="009B7457">
        <w:rPr>
          <w:i/>
          <w:sz w:val="20"/>
        </w:rPr>
        <w:t>Ce sous-critère porte sur la méthodologie de recrutement employée ainsi que sur la pertinence des profils proposés en li</w:t>
      </w:r>
      <w:r>
        <w:rPr>
          <w:i/>
          <w:sz w:val="20"/>
        </w:rPr>
        <w:t>en avec les métiers recherchés.</w:t>
      </w:r>
    </w:p>
    <w:sectPr w:rsidR="00C95796" w:rsidRPr="009B745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4B355" w14:textId="77777777" w:rsidR="0074258A" w:rsidRDefault="0074258A" w:rsidP="00EC2127">
      <w:pPr>
        <w:spacing w:after="0" w:line="240" w:lineRule="auto"/>
      </w:pPr>
      <w:r>
        <w:separator/>
      </w:r>
    </w:p>
  </w:endnote>
  <w:endnote w:type="continuationSeparator" w:id="0">
    <w:p w14:paraId="61623EBB" w14:textId="77777777" w:rsidR="0074258A" w:rsidRDefault="0074258A" w:rsidP="00EC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469145"/>
      <w:docPartObj>
        <w:docPartGallery w:val="Page Numbers (Bottom of Page)"/>
        <w:docPartUnique/>
      </w:docPartObj>
    </w:sdtPr>
    <w:sdtEndPr/>
    <w:sdtContent>
      <w:p w14:paraId="44B34F77" w14:textId="57FF68DB" w:rsidR="00404C4F" w:rsidRDefault="00404C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E9">
          <w:rPr>
            <w:noProof/>
          </w:rPr>
          <w:t>3</w:t>
        </w:r>
        <w:r>
          <w:fldChar w:fldCharType="end"/>
        </w:r>
      </w:p>
    </w:sdtContent>
  </w:sdt>
  <w:p w14:paraId="025FAA97" w14:textId="77777777" w:rsidR="00404C4F" w:rsidRDefault="00404C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02642" w14:textId="77777777" w:rsidR="0074258A" w:rsidRDefault="0074258A" w:rsidP="00EC2127">
      <w:pPr>
        <w:spacing w:after="0" w:line="240" w:lineRule="auto"/>
      </w:pPr>
      <w:r>
        <w:separator/>
      </w:r>
    </w:p>
  </w:footnote>
  <w:footnote w:type="continuationSeparator" w:id="0">
    <w:p w14:paraId="1907A9D8" w14:textId="77777777" w:rsidR="0074258A" w:rsidRDefault="0074258A" w:rsidP="00EC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B3172" w14:textId="0E4AA592" w:rsidR="00EC2127" w:rsidRDefault="001A5E26">
    <w:pPr>
      <w:pStyle w:val="En-tte"/>
    </w:pPr>
    <w:r>
      <w:rPr>
        <w:noProof/>
        <w:lang w:eastAsia="fr-FR"/>
      </w:rPr>
      <w:drawing>
        <wp:inline distT="0" distB="0" distL="0" distR="0" wp14:anchorId="60BE87FD" wp14:editId="7B791C1A">
          <wp:extent cx="2057506" cy="59693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506" cy="596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127"/>
    <w:rsid w:val="000F6855"/>
    <w:rsid w:val="00104089"/>
    <w:rsid w:val="001A5E26"/>
    <w:rsid w:val="001C45D3"/>
    <w:rsid w:val="002110E9"/>
    <w:rsid w:val="002620A5"/>
    <w:rsid w:val="00385CBC"/>
    <w:rsid w:val="003C7EF3"/>
    <w:rsid w:val="00404C4F"/>
    <w:rsid w:val="004261D8"/>
    <w:rsid w:val="004A5978"/>
    <w:rsid w:val="004C442C"/>
    <w:rsid w:val="004E2EE9"/>
    <w:rsid w:val="005934E1"/>
    <w:rsid w:val="005E1BF3"/>
    <w:rsid w:val="005E7607"/>
    <w:rsid w:val="0074258A"/>
    <w:rsid w:val="00793F90"/>
    <w:rsid w:val="007E68FB"/>
    <w:rsid w:val="0081271B"/>
    <w:rsid w:val="00845DD8"/>
    <w:rsid w:val="008E175A"/>
    <w:rsid w:val="0099641E"/>
    <w:rsid w:val="009B7457"/>
    <w:rsid w:val="009D1416"/>
    <w:rsid w:val="00A700C2"/>
    <w:rsid w:val="00B70CDF"/>
    <w:rsid w:val="00B77A29"/>
    <w:rsid w:val="00BB45C0"/>
    <w:rsid w:val="00BD4D55"/>
    <w:rsid w:val="00C949AF"/>
    <w:rsid w:val="00C95796"/>
    <w:rsid w:val="00CE2D67"/>
    <w:rsid w:val="00D126D4"/>
    <w:rsid w:val="00DB15B6"/>
    <w:rsid w:val="00EC2127"/>
    <w:rsid w:val="00EF5AE4"/>
    <w:rsid w:val="00F40A26"/>
    <w:rsid w:val="00FE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387ED8B"/>
  <w15:chartTrackingRefBased/>
  <w15:docId w15:val="{40B28FA7-1905-40A0-B7BD-5E088815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127"/>
  </w:style>
  <w:style w:type="paragraph" w:styleId="Pieddepage">
    <w:name w:val="footer"/>
    <w:basedOn w:val="Normal"/>
    <w:link w:val="PieddepageCar"/>
    <w:uiPriority w:val="99"/>
    <w:unhideWhenUsed/>
    <w:rsid w:val="00EC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127"/>
  </w:style>
  <w:style w:type="paragraph" w:customStyle="1" w:styleId="ParagrapheIndent2">
    <w:name w:val="ParagrapheIndent2"/>
    <w:basedOn w:val="Normal"/>
    <w:next w:val="Normal"/>
    <w:qFormat/>
    <w:rsid w:val="00404C4F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FE02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02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02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02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027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2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Prevost</dc:creator>
  <cp:keywords/>
  <dc:description/>
  <cp:lastModifiedBy>Chevance Flora</cp:lastModifiedBy>
  <cp:revision>34</cp:revision>
  <dcterms:created xsi:type="dcterms:W3CDTF">2023-05-09T12:01:00Z</dcterms:created>
  <dcterms:modified xsi:type="dcterms:W3CDTF">2025-06-30T12:38:00Z</dcterms:modified>
</cp:coreProperties>
</file>